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E260" w14:textId="77777777" w:rsidR="00C30E52" w:rsidRDefault="00C30E52" w:rsidP="00CF77D7">
      <w:pPr>
        <w:jc w:val="right"/>
        <w:rPr>
          <w:rFonts w:cstheme="minorHAnsi"/>
          <w:sz w:val="28"/>
          <w:szCs w:val="28"/>
        </w:rPr>
      </w:pPr>
    </w:p>
    <w:p w14:paraId="5324C74C" w14:textId="27F07ECA" w:rsidR="00BF1D0F" w:rsidRPr="00CF77D7" w:rsidRDefault="00BF1D0F" w:rsidP="00CF77D7">
      <w:pPr>
        <w:jc w:val="right"/>
        <w:rPr>
          <w:rFonts w:cstheme="minorHAnsi"/>
          <w:sz w:val="28"/>
          <w:szCs w:val="28"/>
        </w:rPr>
      </w:pPr>
      <w:r w:rsidRPr="00CF77D7">
        <w:rPr>
          <w:rFonts w:cstheme="minorHAnsi"/>
          <w:sz w:val="28"/>
          <w:szCs w:val="28"/>
        </w:rPr>
        <w:t xml:space="preserve">Alla Mediatrice europea signora Emily O’Reilly </w:t>
      </w:r>
    </w:p>
    <w:p w14:paraId="4A263C4C" w14:textId="77777777" w:rsidR="00BF1D0F" w:rsidRPr="00CF77D7" w:rsidRDefault="00BF1D0F" w:rsidP="00CF77D7">
      <w:pPr>
        <w:jc w:val="right"/>
        <w:rPr>
          <w:rFonts w:cstheme="minorHAnsi"/>
          <w:color w:val="171A22"/>
          <w:sz w:val="28"/>
          <w:szCs w:val="28"/>
        </w:rPr>
      </w:pPr>
      <w:r w:rsidRPr="00CF77D7">
        <w:rPr>
          <w:rFonts w:cstheme="minorHAnsi"/>
          <w:color w:val="171A22"/>
          <w:sz w:val="28"/>
          <w:szCs w:val="28"/>
        </w:rPr>
        <w:t>1 avenue du Président Robert Schuman</w:t>
      </w:r>
    </w:p>
    <w:p w14:paraId="45730E1C" w14:textId="77777777" w:rsidR="00BF1D0F" w:rsidRPr="00CF77D7" w:rsidRDefault="00BF1D0F" w:rsidP="00CF77D7">
      <w:pPr>
        <w:jc w:val="right"/>
        <w:rPr>
          <w:rFonts w:cstheme="minorHAnsi"/>
          <w:color w:val="171A22"/>
          <w:sz w:val="28"/>
          <w:szCs w:val="28"/>
        </w:rPr>
      </w:pPr>
      <w:r w:rsidRPr="00CF77D7">
        <w:rPr>
          <w:rFonts w:cstheme="minorHAnsi"/>
          <w:color w:val="171A22"/>
          <w:sz w:val="28"/>
          <w:szCs w:val="28"/>
        </w:rPr>
        <w:t xml:space="preserve">67001 Strasbourg CS </w:t>
      </w:r>
    </w:p>
    <w:p w14:paraId="64E4DA2C" w14:textId="37E41E81" w:rsidR="00BF1D0F" w:rsidRPr="00CF77D7" w:rsidRDefault="00BF1D0F" w:rsidP="00CF77D7">
      <w:pPr>
        <w:jc w:val="right"/>
        <w:rPr>
          <w:rFonts w:cstheme="minorHAnsi"/>
          <w:color w:val="171A22"/>
          <w:sz w:val="28"/>
          <w:szCs w:val="28"/>
        </w:rPr>
      </w:pPr>
      <w:r w:rsidRPr="00CF77D7">
        <w:rPr>
          <w:rFonts w:cstheme="minorHAnsi"/>
          <w:color w:val="171A22"/>
          <w:sz w:val="28"/>
          <w:szCs w:val="28"/>
        </w:rPr>
        <w:t>30403, Francia</w:t>
      </w:r>
    </w:p>
    <w:p w14:paraId="61904BD2" w14:textId="0E5FAD9C" w:rsidR="00BF1D0F" w:rsidRPr="007A6CD9" w:rsidRDefault="00BF1D0F" w:rsidP="007A6CD9">
      <w:pPr>
        <w:spacing w:line="480" w:lineRule="auto"/>
        <w:jc w:val="both"/>
        <w:rPr>
          <w:rFonts w:cstheme="minorHAnsi"/>
          <w:color w:val="171A22"/>
          <w:sz w:val="28"/>
          <w:szCs w:val="28"/>
        </w:rPr>
      </w:pPr>
      <w:r w:rsidRPr="007A6CD9">
        <w:rPr>
          <w:rFonts w:cstheme="minorHAnsi"/>
          <w:color w:val="171A22"/>
          <w:sz w:val="28"/>
          <w:szCs w:val="28"/>
        </w:rPr>
        <w:t>IL sottoscritto Claudio Stoduto cittadino europeo ha presentato una petizione alla Commissione per le petizioni classificata 0447/2022 e riguardante veri profili di mancato rispetto del diritto comunitario</w:t>
      </w:r>
      <w:r w:rsidR="009D34FC" w:rsidRPr="007A6CD9">
        <w:rPr>
          <w:rFonts w:cstheme="minorHAnsi"/>
          <w:color w:val="171A22"/>
          <w:sz w:val="28"/>
          <w:szCs w:val="28"/>
        </w:rPr>
        <w:t xml:space="preserve"> nella elaborazione del progetto alta velocità Salerno/Reggio Calabria , lotto Battipaglia/Romagnano.</w:t>
      </w:r>
    </w:p>
    <w:p w14:paraId="75A2F8C7" w14:textId="72F51630" w:rsidR="009D34FC" w:rsidRPr="007A6CD9" w:rsidRDefault="009D34FC" w:rsidP="007A6CD9">
      <w:pPr>
        <w:spacing w:line="480" w:lineRule="auto"/>
        <w:jc w:val="both"/>
        <w:rPr>
          <w:rFonts w:cstheme="minorHAnsi"/>
          <w:color w:val="000000"/>
          <w:sz w:val="28"/>
          <w:szCs w:val="28"/>
          <w:shd w:val="clear" w:color="auto" w:fill="F9F9F9"/>
        </w:rPr>
      </w:pPr>
      <w:r w:rsidRPr="007A6CD9">
        <w:rPr>
          <w:rFonts w:cstheme="minorHAnsi"/>
          <w:color w:val="171A22"/>
          <w:sz w:val="28"/>
          <w:szCs w:val="28"/>
        </w:rPr>
        <w:t xml:space="preserve">Profili che riguardavano la valutazione di incidenza ambientale di Sic e Zps , di tipologia costruttiva composta per l’80% da gallerie che notoriamente generano emissioni di diossido di carbonio verso il quale la strategia della Unione Europea a iniziare dagli Accordi di Parigi e continuando con il Fit for 55 </w:t>
      </w:r>
      <w:r w:rsidR="00CF77D7" w:rsidRPr="007A6CD9">
        <w:rPr>
          <w:rFonts w:cstheme="minorHAnsi"/>
          <w:color w:val="171A22"/>
          <w:sz w:val="28"/>
          <w:szCs w:val="28"/>
        </w:rPr>
        <w:t xml:space="preserve"> del Green Deal.</w:t>
      </w:r>
      <w:r w:rsidRPr="007A6CD9">
        <w:rPr>
          <w:rFonts w:cstheme="minorHAnsi"/>
          <w:color w:val="171A22"/>
          <w:sz w:val="28"/>
          <w:szCs w:val="28"/>
        </w:rPr>
        <w:t xml:space="preserve"> </w:t>
      </w:r>
      <w:r w:rsidR="00CF77D7" w:rsidRPr="007A6CD9">
        <w:rPr>
          <w:rFonts w:cstheme="minorHAnsi"/>
          <w:color w:val="000000"/>
          <w:sz w:val="28"/>
          <w:szCs w:val="28"/>
          <w:shd w:val="clear" w:color="auto" w:fill="F9F9F9"/>
        </w:rPr>
        <w:t>Per raggiungere l’obiettivo al</w:t>
      </w:r>
      <w:r w:rsidR="00CF77D7" w:rsidRPr="007A6CD9">
        <w:rPr>
          <w:rStyle w:val="Enfasigrassetto"/>
          <w:rFonts w:cstheme="minorHAnsi"/>
          <w:color w:val="000000"/>
          <w:sz w:val="28"/>
          <w:szCs w:val="28"/>
          <w:shd w:val="clear" w:color="auto" w:fill="F9F9F9"/>
        </w:rPr>
        <w:t> </w:t>
      </w:r>
      <w:r w:rsidR="00CF77D7" w:rsidRPr="007A6CD9">
        <w:rPr>
          <w:rStyle w:val="Enfasigrassetto"/>
          <w:rFonts w:cstheme="minorHAnsi"/>
          <w:b w:val="0"/>
          <w:bCs w:val="0"/>
          <w:color w:val="000000"/>
          <w:sz w:val="28"/>
          <w:szCs w:val="28"/>
          <w:shd w:val="clear" w:color="auto" w:fill="F9F9F9"/>
        </w:rPr>
        <w:t>2030 </w:t>
      </w:r>
      <w:r w:rsidR="00CF77D7" w:rsidRPr="007A6CD9">
        <w:rPr>
          <w:rFonts w:cstheme="minorHAnsi"/>
          <w:color w:val="000000"/>
          <w:sz w:val="28"/>
          <w:szCs w:val="28"/>
          <w:shd w:val="clear" w:color="auto" w:fill="F9F9F9"/>
        </w:rPr>
        <w:t>di</w:t>
      </w:r>
      <w:r w:rsidR="00CF77D7" w:rsidRPr="007A6CD9">
        <w:rPr>
          <w:rStyle w:val="Enfasigrassetto"/>
          <w:rFonts w:cstheme="minorHAnsi"/>
          <w:color w:val="000000"/>
          <w:sz w:val="28"/>
          <w:szCs w:val="28"/>
          <w:shd w:val="clear" w:color="auto" w:fill="F9F9F9"/>
        </w:rPr>
        <w:t> </w:t>
      </w:r>
      <w:r w:rsidR="00CF77D7" w:rsidRPr="007A6CD9">
        <w:rPr>
          <w:rStyle w:val="Enfasigrassetto"/>
          <w:rFonts w:cstheme="minorHAnsi"/>
          <w:b w:val="0"/>
          <w:bCs w:val="0"/>
          <w:color w:val="000000"/>
          <w:sz w:val="28"/>
          <w:szCs w:val="28"/>
          <w:shd w:val="clear" w:color="auto" w:fill="F9F9F9"/>
        </w:rPr>
        <w:t>ridurre le emissioni del 55%</w:t>
      </w:r>
      <w:r w:rsidR="00CF77D7" w:rsidRPr="007A6CD9">
        <w:rPr>
          <w:rFonts w:cstheme="minorHAnsi"/>
          <w:b/>
          <w:bCs/>
          <w:color w:val="000000"/>
          <w:sz w:val="28"/>
          <w:szCs w:val="28"/>
          <w:shd w:val="clear" w:color="auto" w:fill="F9F9F9"/>
        </w:rPr>
        <w:t> </w:t>
      </w:r>
      <w:r w:rsidR="00CF77D7" w:rsidRPr="007A6CD9">
        <w:rPr>
          <w:rStyle w:val="Enfasigrassetto"/>
          <w:rFonts w:cstheme="minorHAnsi"/>
          <w:b w:val="0"/>
          <w:bCs w:val="0"/>
          <w:color w:val="000000"/>
          <w:sz w:val="28"/>
          <w:szCs w:val="28"/>
          <w:shd w:val="clear" w:color="auto" w:fill="F9F9F9"/>
        </w:rPr>
        <w:t>rispetto al 1990</w:t>
      </w:r>
      <w:r w:rsidR="00CF77D7" w:rsidRPr="007A6CD9">
        <w:rPr>
          <w:rFonts w:cstheme="minorHAnsi"/>
          <w:color w:val="000000"/>
          <w:sz w:val="28"/>
          <w:szCs w:val="28"/>
          <w:shd w:val="clear" w:color="auto" w:fill="F9F9F9"/>
        </w:rPr>
        <w:t> occorre arrivare a quasi 230 Mt CO</w:t>
      </w:r>
      <w:r w:rsidR="00CF77D7" w:rsidRPr="007A6CD9">
        <w:rPr>
          <w:rFonts w:cstheme="minorHAnsi"/>
          <w:color w:val="000000"/>
          <w:sz w:val="28"/>
          <w:szCs w:val="28"/>
          <w:shd w:val="clear" w:color="auto" w:fill="F9F9F9"/>
          <w:vertAlign w:val="subscript"/>
        </w:rPr>
        <w:t>2</w:t>
      </w:r>
      <w:r w:rsidR="00CF77D7" w:rsidRPr="007A6CD9">
        <w:rPr>
          <w:rFonts w:cstheme="minorHAnsi"/>
          <w:color w:val="000000"/>
          <w:sz w:val="28"/>
          <w:szCs w:val="28"/>
          <w:shd w:val="clear" w:color="auto" w:fill="F9F9F9"/>
        </w:rPr>
        <w:t>eq, uno sforzo immane contando che negli ultimi 30 anni abbiamo registrato una riduzione di sole 100 Mt CO</w:t>
      </w:r>
      <w:r w:rsidR="00CF77D7" w:rsidRPr="007A6CD9">
        <w:rPr>
          <w:rFonts w:cstheme="minorHAnsi"/>
          <w:color w:val="000000"/>
          <w:sz w:val="28"/>
          <w:szCs w:val="28"/>
          <w:shd w:val="clear" w:color="auto" w:fill="F9F9F9"/>
          <w:vertAlign w:val="subscript"/>
        </w:rPr>
        <w:t>2</w:t>
      </w:r>
      <w:r w:rsidR="00CF77D7" w:rsidRPr="007A6CD9">
        <w:rPr>
          <w:rFonts w:cstheme="minorHAnsi"/>
          <w:color w:val="000000"/>
          <w:sz w:val="28"/>
          <w:szCs w:val="28"/>
          <w:shd w:val="clear" w:color="auto" w:fill="F9F9F9"/>
        </w:rPr>
        <w:t>eq circa. In altri termini in 10 anni dobbiamo fare il doppio di quello che abbiamo fatto negli ultimi 30 anni.</w:t>
      </w:r>
    </w:p>
    <w:p w14:paraId="2971D3FE" w14:textId="5F738C8A" w:rsidR="00CF77D7" w:rsidRDefault="00CF77D7" w:rsidP="007A6CD9">
      <w:pPr>
        <w:spacing w:line="480" w:lineRule="auto"/>
        <w:jc w:val="both"/>
        <w:rPr>
          <w:rFonts w:cstheme="minorHAnsi"/>
          <w:color w:val="000000"/>
          <w:sz w:val="28"/>
          <w:szCs w:val="28"/>
          <w:shd w:val="clear" w:color="auto" w:fill="F9F9F9"/>
        </w:rPr>
      </w:pPr>
      <w:r w:rsidRPr="007A6CD9">
        <w:rPr>
          <w:rFonts w:cstheme="minorHAnsi"/>
          <w:color w:val="000000"/>
          <w:sz w:val="28"/>
          <w:szCs w:val="28"/>
          <w:shd w:val="clear" w:color="auto" w:fill="F9F9F9"/>
        </w:rPr>
        <w:t>Una ragione in più per valutare la opzione zero</w:t>
      </w:r>
      <w:r w:rsidR="009653E5" w:rsidRPr="007A6CD9">
        <w:rPr>
          <w:rFonts w:cstheme="minorHAnsi"/>
          <w:color w:val="000000"/>
          <w:sz w:val="28"/>
          <w:szCs w:val="28"/>
          <w:shd w:val="clear" w:color="auto" w:fill="F9F9F9"/>
        </w:rPr>
        <w:t xml:space="preserve"> ( do nothing) </w:t>
      </w:r>
      <w:r w:rsidRPr="007A6CD9">
        <w:rPr>
          <w:rFonts w:cstheme="minorHAnsi"/>
          <w:color w:val="000000"/>
          <w:sz w:val="28"/>
          <w:szCs w:val="28"/>
          <w:shd w:val="clear" w:color="auto" w:fill="F9F9F9"/>
        </w:rPr>
        <w:t xml:space="preserve"> nella valutazione di impatto ambientale </w:t>
      </w:r>
      <w:r w:rsidR="003B6C35" w:rsidRPr="007A6CD9">
        <w:rPr>
          <w:rFonts w:cstheme="minorHAnsi"/>
          <w:color w:val="000000"/>
          <w:sz w:val="28"/>
          <w:szCs w:val="28"/>
          <w:shd w:val="clear" w:color="auto" w:fill="F9F9F9"/>
        </w:rPr>
        <w:t xml:space="preserve">tra l’altro prevista dalle direttive europee </w:t>
      </w:r>
      <w:r w:rsidR="008A404E" w:rsidRPr="007A6CD9">
        <w:rPr>
          <w:rFonts w:cstheme="minorHAnsi"/>
          <w:color w:val="000000"/>
          <w:sz w:val="28"/>
          <w:szCs w:val="28"/>
          <w:shd w:val="clear" w:color="auto" w:fill="F9F9F9"/>
        </w:rPr>
        <w:t>.</w:t>
      </w:r>
    </w:p>
    <w:p w14:paraId="513F0CC9" w14:textId="5F91E549" w:rsidR="002A7576" w:rsidRDefault="002A7576" w:rsidP="007A6CD9">
      <w:pPr>
        <w:spacing w:line="480" w:lineRule="auto"/>
        <w:jc w:val="both"/>
        <w:rPr>
          <w:rFonts w:cstheme="minorHAnsi"/>
          <w:color w:val="000000"/>
          <w:sz w:val="28"/>
          <w:szCs w:val="28"/>
          <w:shd w:val="clear" w:color="auto" w:fill="F9F9F9"/>
        </w:rPr>
      </w:pPr>
      <w:r>
        <w:rPr>
          <w:rFonts w:cstheme="minorHAnsi"/>
          <w:color w:val="000000"/>
          <w:sz w:val="28"/>
          <w:szCs w:val="28"/>
          <w:shd w:val="clear" w:color="auto" w:fill="F9F9F9"/>
        </w:rPr>
        <w:t xml:space="preserve">La  Commissione nella risposta scrive che “ il firmatario non fornisce alcuna prova del mancato rispetto delle norme ambientali UE .” La valutazione di incidenza ambientale </w:t>
      </w:r>
      <w:r>
        <w:rPr>
          <w:rFonts w:cstheme="minorHAnsi"/>
          <w:color w:val="000000"/>
          <w:sz w:val="28"/>
          <w:szCs w:val="28"/>
          <w:shd w:val="clear" w:color="auto" w:fill="F9F9F9"/>
        </w:rPr>
        <w:lastRenderedPageBreak/>
        <w:t xml:space="preserve">è fatta in ambito di procedura di valutazione di impatto ambientale che nella obbligatoria analisi delle alternative omettendo la valutazione del </w:t>
      </w:r>
      <w:r w:rsidR="005569C0">
        <w:rPr>
          <w:rFonts w:cstheme="minorHAnsi"/>
          <w:color w:val="000000"/>
          <w:sz w:val="28"/>
          <w:szCs w:val="28"/>
          <w:shd w:val="clear" w:color="auto" w:fill="F9F9F9"/>
        </w:rPr>
        <w:t>“Do  Nothing” rende parziale e incoerente il giudizio di compatibilità ambientale.</w:t>
      </w:r>
    </w:p>
    <w:p w14:paraId="5FBA916D" w14:textId="629C424D" w:rsidR="007A6CD9" w:rsidRDefault="008A404E" w:rsidP="007A6CD9">
      <w:pPr>
        <w:spacing w:line="480" w:lineRule="auto"/>
        <w:jc w:val="both"/>
        <w:rPr>
          <w:rFonts w:eastAsia="Times New Roman" w:cstheme="minorHAnsi"/>
          <w:color w:val="333333"/>
          <w:kern w:val="0"/>
          <w:sz w:val="28"/>
          <w:szCs w:val="28"/>
          <w:lang w:eastAsia="it-IT"/>
          <w14:ligatures w14:val="none"/>
        </w:rPr>
      </w:pPr>
      <w:r w:rsidRPr="007A6CD9">
        <w:rPr>
          <w:rFonts w:cstheme="minorHAnsi"/>
          <w:color w:val="000000"/>
          <w:sz w:val="28"/>
          <w:szCs w:val="28"/>
          <w:shd w:val="clear" w:color="auto" w:fill="F9F9F9"/>
        </w:rPr>
        <w:t>Assente il calcolo delle emissioni nella fase di costruzione</w:t>
      </w:r>
      <w:r w:rsidR="0044728E" w:rsidRPr="007A6CD9">
        <w:rPr>
          <w:rFonts w:cstheme="minorHAnsi"/>
          <w:color w:val="000000"/>
          <w:sz w:val="28"/>
          <w:szCs w:val="28"/>
          <w:shd w:val="clear" w:color="auto" w:fill="F9F9F9"/>
        </w:rPr>
        <w:t xml:space="preserve"> </w:t>
      </w:r>
      <w:r w:rsidR="007A6CD9" w:rsidRPr="007A6CD9">
        <w:rPr>
          <w:rFonts w:cstheme="minorHAnsi"/>
          <w:color w:val="000000"/>
          <w:sz w:val="28"/>
          <w:szCs w:val="28"/>
          <w:shd w:val="clear" w:color="auto" w:fill="F9F9F9"/>
        </w:rPr>
        <w:t xml:space="preserve">della linea sottostimando la produzione di biossido di carbonio. Non ci sembra che sia rispettata la regola del Do No Significant Harm ( DNSH : non arrecare danno significativo) . DNSH che come noto si basa su 6 principi tre dei quali sono : 1) </w:t>
      </w:r>
      <w:r w:rsidR="007A6CD9" w:rsidRPr="007A6CD9">
        <w:rPr>
          <w:rFonts w:eastAsia="Times New Roman" w:cstheme="minorHAnsi"/>
          <w:color w:val="333333"/>
          <w:kern w:val="0"/>
          <w:sz w:val="28"/>
          <w:szCs w:val="28"/>
          <w:lang w:eastAsia="it-IT"/>
          <w14:ligatures w14:val="none"/>
        </w:rPr>
        <w:t>mitigazione dei cambiamenti climatici. Nessun intervento deve causare significative emissioni di gas serra;</w:t>
      </w:r>
      <w:r w:rsidR="007A6CD9" w:rsidRPr="007A6CD9">
        <w:rPr>
          <w:rFonts w:eastAsia="Times New Roman" w:cstheme="minorHAnsi"/>
          <w:color w:val="333333"/>
          <w:kern w:val="0"/>
          <w:sz w:val="28"/>
          <w:szCs w:val="28"/>
          <w:lang w:eastAsia="it-IT"/>
          <w14:ligatures w14:val="none"/>
        </w:rPr>
        <w:t xml:space="preserve"> 2) </w:t>
      </w:r>
      <w:r w:rsidR="007A6CD9" w:rsidRPr="007A6CD9">
        <w:rPr>
          <w:rFonts w:cstheme="minorHAnsi"/>
          <w:color w:val="000000"/>
          <w:sz w:val="28"/>
          <w:szCs w:val="28"/>
          <w:shd w:val="clear" w:color="auto" w:fill="F9F9F9"/>
        </w:rPr>
        <w:t xml:space="preserve"> </w:t>
      </w:r>
      <w:r w:rsidR="007A6CD9" w:rsidRPr="007A6CD9">
        <w:rPr>
          <w:rFonts w:eastAsia="Times New Roman" w:cstheme="minorHAnsi"/>
          <w:color w:val="333333"/>
          <w:kern w:val="0"/>
          <w:sz w:val="28"/>
          <w:szCs w:val="28"/>
          <w:lang w:eastAsia="it-IT"/>
          <w14:ligatures w14:val="none"/>
        </w:rPr>
        <w:t>adattamento ai cambiamenti climatici. Una misura non deve impattare negativamente sul clima attuale e futuro, né su persone, beni, natura o l’attività stessa</w:t>
      </w:r>
      <w:r w:rsidR="007A6CD9" w:rsidRPr="007A6CD9">
        <w:rPr>
          <w:rFonts w:eastAsia="Times New Roman" w:cstheme="minorHAnsi"/>
          <w:color w:val="333333"/>
          <w:kern w:val="0"/>
          <w:sz w:val="28"/>
          <w:szCs w:val="28"/>
          <w:lang w:eastAsia="it-IT"/>
          <w14:ligatures w14:val="none"/>
        </w:rPr>
        <w:t xml:space="preserve">; 3) </w:t>
      </w:r>
      <w:r w:rsidR="007A6CD9" w:rsidRPr="007A6CD9">
        <w:rPr>
          <w:rFonts w:eastAsia="Times New Roman" w:cstheme="minorHAnsi"/>
          <w:color w:val="333333"/>
          <w:kern w:val="0"/>
          <w:sz w:val="28"/>
          <w:szCs w:val="28"/>
          <w:lang w:eastAsia="it-IT"/>
          <w14:ligatures w14:val="none"/>
        </w:rPr>
        <w:t>protezione e ripristino della biodiversità e della salute degli eco-sistemi. Nessun intervento P</w:t>
      </w:r>
      <w:r w:rsidR="007A6CD9" w:rsidRPr="007A6CD9">
        <w:rPr>
          <w:rFonts w:eastAsia="Times New Roman" w:cstheme="minorHAnsi"/>
          <w:color w:val="333333"/>
          <w:kern w:val="0"/>
          <w:sz w:val="28"/>
          <w:szCs w:val="28"/>
          <w:lang w:eastAsia="it-IT"/>
          <w14:ligatures w14:val="none"/>
        </w:rPr>
        <w:t xml:space="preserve">NRR </w:t>
      </w:r>
      <w:r w:rsidR="007A6CD9" w:rsidRPr="007A6CD9">
        <w:rPr>
          <w:rFonts w:eastAsia="Times New Roman" w:cstheme="minorHAnsi"/>
          <w:color w:val="333333"/>
          <w:kern w:val="0"/>
          <w:sz w:val="28"/>
          <w:szCs w:val="28"/>
          <w:lang w:eastAsia="it-IT"/>
          <w14:ligatures w14:val="none"/>
        </w:rPr>
        <w:t>deve mettere a rischio la conservazione degli ecosistemi, degli habitat e delle specie.</w:t>
      </w:r>
    </w:p>
    <w:p w14:paraId="4B18131D" w14:textId="154A32BC" w:rsidR="005569C0" w:rsidRDefault="005569C0" w:rsidP="007A6CD9">
      <w:pPr>
        <w:spacing w:line="480" w:lineRule="auto"/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eastAsia="Times New Roman" w:cstheme="minorHAnsi"/>
          <w:color w:val="333333"/>
          <w:kern w:val="0"/>
          <w:sz w:val="28"/>
          <w:szCs w:val="28"/>
          <w:lang w:eastAsia="it-IT"/>
          <w14:ligatures w14:val="none"/>
        </w:rPr>
        <w:t xml:space="preserve">Mancato rispetto del DNSH pur fruendo il lotto Battipaglia/Romagnano di ben 1800 milioni di euro del  </w:t>
      </w:r>
      <w:r w:rsidRPr="005569C0">
        <w:rPr>
          <w:rFonts w:cstheme="minorHAnsi"/>
          <w:color w:val="000000" w:themeColor="text1"/>
          <w:sz w:val="28"/>
          <w:szCs w:val="28"/>
          <w:shd w:val="clear" w:color="auto" w:fill="FFFFFF"/>
        </w:rPr>
        <w:t>Next Generation EU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! Non solo omesso calcolo delle emissioni durante la fase di costruzione ma scelta</w:t>
      </w:r>
      <w:r w:rsidR="00426C6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589BC7D4" w14:textId="79C4350F" w:rsidR="00426C69" w:rsidRDefault="00426C69" w:rsidP="007A6CD9">
      <w:pPr>
        <w:spacing w:line="480" w:lineRule="auto"/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Pendenze di linea energeticamente inefficienti .</w:t>
      </w:r>
    </w:p>
    <w:p w14:paraId="1753EEBB" w14:textId="77777777" w:rsidR="00426C69" w:rsidRDefault="00426C69" w:rsidP="00426C69">
      <w:pPr>
        <w:spacing w:line="480" w:lineRule="auto"/>
        <w:jc w:val="both"/>
        <w:rPr>
          <w:sz w:val="28"/>
          <w:szCs w:val="28"/>
        </w:rPr>
      </w:pPr>
      <w:r w:rsidRPr="0085669B">
        <w:rPr>
          <w:sz w:val="28"/>
          <w:szCs w:val="28"/>
        </w:rPr>
        <w:t>L’itinerario merci a servizio di Gioia Tauro è, secondo tutti i documenti (sia i D</w:t>
      </w:r>
      <w:r>
        <w:rPr>
          <w:sz w:val="28"/>
          <w:szCs w:val="28"/>
        </w:rPr>
        <w:t xml:space="preserve">ocumenti di Economia e Finanza del Governo , </w:t>
      </w:r>
      <w:r w:rsidRPr="0085669B">
        <w:rPr>
          <w:sz w:val="28"/>
          <w:szCs w:val="28"/>
        </w:rPr>
        <w:t xml:space="preserve"> che la documentazione progettuale stessa) quello “Adriatico”, cioè da Gioia Tauro si raggiunge il Nord via Galleria Santomarco, linea Jonica, Taranto, linea Adriatica. </w:t>
      </w:r>
    </w:p>
    <w:p w14:paraId="316F9585" w14:textId="516EACB0" w:rsidR="00426C69" w:rsidRPr="0085669B" w:rsidRDefault="00426C69" w:rsidP="00426C69">
      <w:pPr>
        <w:spacing w:line="480" w:lineRule="auto"/>
        <w:jc w:val="both"/>
        <w:rPr>
          <w:sz w:val="28"/>
          <w:szCs w:val="28"/>
        </w:rPr>
      </w:pPr>
      <w:r w:rsidRPr="0085669B">
        <w:rPr>
          <w:sz w:val="28"/>
          <w:szCs w:val="28"/>
        </w:rPr>
        <w:lastRenderedPageBreak/>
        <w:t>Questo corridoio è già esistente (tranne il raddoppio della galleria Santomarco, ), ha sagoma , modulo e peso assiale adatti, è poco acclive e quasi interamente in piano (altezza max 350 m slm) e dunque energeticamente molto efficiente</w:t>
      </w:r>
    </w:p>
    <w:p w14:paraId="598DC62E" w14:textId="77777777" w:rsidR="00426C69" w:rsidRDefault="00426C69" w:rsidP="00426C69">
      <w:pPr>
        <w:spacing w:line="480" w:lineRule="auto"/>
        <w:jc w:val="both"/>
        <w:rPr>
          <w:sz w:val="28"/>
          <w:szCs w:val="28"/>
        </w:rPr>
      </w:pPr>
      <w:r w:rsidRPr="0085669B">
        <w:rPr>
          <w:sz w:val="28"/>
          <w:szCs w:val="28"/>
        </w:rPr>
        <w:t xml:space="preserve">Ciononostante, il lotto 1a, così come il resto della linea, è progettata al 12 ‰ con punte locali al 18 ‰. Questi sono valori tipici da linea adatta al transito di treni merci pesanti in singola trazione, non da linea AV passeggeri o da linea percorsa da treni merci leggeri </w:t>
      </w:r>
      <w:r>
        <w:rPr>
          <w:sz w:val="28"/>
          <w:szCs w:val="28"/>
        </w:rPr>
        <w:t>.</w:t>
      </w:r>
    </w:p>
    <w:p w14:paraId="2CB09E97" w14:textId="26FA12D8" w:rsidR="00426C69" w:rsidRPr="0085669B" w:rsidRDefault="00426C69" w:rsidP="00426C69">
      <w:pPr>
        <w:spacing w:line="480" w:lineRule="auto"/>
        <w:jc w:val="both"/>
        <w:rPr>
          <w:sz w:val="28"/>
          <w:szCs w:val="28"/>
        </w:rPr>
      </w:pPr>
      <w:r w:rsidRPr="0085669B">
        <w:rPr>
          <w:sz w:val="28"/>
          <w:szCs w:val="28"/>
        </w:rPr>
        <w:t xml:space="preserve">Il tracciato di una linea con tali pendenze in un contesto montuoso come quello dell’Appennino Meridionale ha come effetto l’allungamento delle gallerie </w:t>
      </w:r>
      <w:r>
        <w:rPr>
          <w:sz w:val="28"/>
          <w:szCs w:val="28"/>
        </w:rPr>
        <w:t xml:space="preserve">, </w:t>
      </w:r>
      <w:r w:rsidRPr="0085669B">
        <w:rPr>
          <w:sz w:val="28"/>
          <w:szCs w:val="28"/>
        </w:rPr>
        <w:t>che infatti assommano al 48% dei 35 km del Lotto 1a, certamente non tra i più montuosi dell’intera linea e di conseguenza dei costi,</w:t>
      </w:r>
      <w:r>
        <w:rPr>
          <w:sz w:val="28"/>
          <w:szCs w:val="28"/>
        </w:rPr>
        <w:t xml:space="preserve"> e delle emissioni di biossido di carbonio .</w:t>
      </w:r>
    </w:p>
    <w:p w14:paraId="0EC0C845" w14:textId="77777777" w:rsidR="00426C69" w:rsidRDefault="00426C69" w:rsidP="00426C69">
      <w:pPr>
        <w:spacing w:line="480" w:lineRule="auto"/>
        <w:jc w:val="both"/>
        <w:rPr>
          <w:sz w:val="28"/>
          <w:szCs w:val="28"/>
        </w:rPr>
      </w:pPr>
      <w:r w:rsidRPr="0085669B">
        <w:rPr>
          <w:sz w:val="28"/>
          <w:szCs w:val="28"/>
        </w:rPr>
        <w:t>“L’itinerario Gioia Tauro – Taranto – Bari è ritenuto prioritario rispetto al Tirrenico” è la frase con cui si esordisce a pagina 38 del Documento di Fattibilità delle Alternative Progettuali.</w:t>
      </w:r>
    </w:p>
    <w:p w14:paraId="5572E529" w14:textId="2178AE32" w:rsidR="00426C69" w:rsidRDefault="00426C69" w:rsidP="00426C6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Infine una valutazione di impatto orfana non solo della “Do Nothing” ma anche della valutazione degli impatti cumulativi del progetto come si legge nelle direttive superate 85/337/Ce, 97/11/Ce. </w:t>
      </w:r>
    </w:p>
    <w:p w14:paraId="26B22551" w14:textId="6770FC5A" w:rsidR="00426C69" w:rsidRPr="0085669B" w:rsidRDefault="00426C69" w:rsidP="00426C6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sottoscritti ritengono la valutazione della Commissione superficiale e non oggetto di approfondimenti e riscontri documentali oggettivi presso il Ministero dell’Ambiente o il concessionario Rete Ferroviaria Italiana.</w:t>
      </w:r>
    </w:p>
    <w:p w14:paraId="0ADF3E8E" w14:textId="77777777" w:rsidR="00426C69" w:rsidRPr="005569C0" w:rsidRDefault="00426C69" w:rsidP="007A6CD9">
      <w:pPr>
        <w:spacing w:line="480" w:lineRule="auto"/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2247CB3D" w14:textId="0E6AF5DB" w:rsidR="002A7576" w:rsidRDefault="002A7576" w:rsidP="007A6CD9">
      <w:pPr>
        <w:spacing w:line="480" w:lineRule="auto"/>
        <w:jc w:val="both"/>
        <w:rPr>
          <w:rFonts w:eastAsia="Times New Roman" w:cstheme="minorHAnsi"/>
          <w:color w:val="333333"/>
          <w:kern w:val="0"/>
          <w:sz w:val="28"/>
          <w:szCs w:val="28"/>
          <w:lang w:eastAsia="it-IT"/>
          <w14:ligatures w14:val="none"/>
        </w:rPr>
      </w:pPr>
    </w:p>
    <w:p w14:paraId="4CAD9926" w14:textId="77777777" w:rsidR="007A6CD9" w:rsidRPr="007A6CD9" w:rsidRDefault="007A6CD9" w:rsidP="007A6CD9">
      <w:pPr>
        <w:spacing w:line="480" w:lineRule="auto"/>
        <w:jc w:val="both"/>
        <w:rPr>
          <w:rFonts w:eastAsia="Times New Roman" w:cstheme="minorHAnsi"/>
          <w:color w:val="333333"/>
          <w:kern w:val="0"/>
          <w:sz w:val="28"/>
          <w:szCs w:val="28"/>
          <w:lang w:eastAsia="it-IT"/>
          <w14:ligatures w14:val="none"/>
        </w:rPr>
      </w:pPr>
    </w:p>
    <w:p w14:paraId="1E090DDA" w14:textId="77777777" w:rsidR="007A6CD9" w:rsidRPr="007A6CD9" w:rsidRDefault="007A6CD9" w:rsidP="007A6CD9">
      <w:pPr>
        <w:spacing w:line="480" w:lineRule="auto"/>
        <w:jc w:val="both"/>
        <w:rPr>
          <w:rFonts w:eastAsia="Times New Roman" w:cstheme="minorHAnsi"/>
          <w:color w:val="333333"/>
          <w:kern w:val="0"/>
          <w:sz w:val="28"/>
          <w:szCs w:val="28"/>
          <w:lang w:eastAsia="it-IT"/>
          <w14:ligatures w14:val="none"/>
        </w:rPr>
      </w:pPr>
    </w:p>
    <w:p w14:paraId="0CEAF8B5" w14:textId="77777777" w:rsidR="007A6CD9" w:rsidRPr="007A6CD9" w:rsidRDefault="007A6CD9" w:rsidP="007A6CD9">
      <w:pPr>
        <w:spacing w:line="480" w:lineRule="auto"/>
        <w:jc w:val="both"/>
        <w:rPr>
          <w:rFonts w:cstheme="minorHAnsi"/>
          <w:color w:val="000000"/>
          <w:sz w:val="28"/>
          <w:szCs w:val="28"/>
          <w:shd w:val="clear" w:color="auto" w:fill="F9F9F9"/>
        </w:rPr>
      </w:pPr>
    </w:p>
    <w:p w14:paraId="01B4D354" w14:textId="4BC4BAB8" w:rsidR="007A6CD9" w:rsidRPr="007A6CD9" w:rsidRDefault="007A6CD9" w:rsidP="007A6CD9">
      <w:pPr>
        <w:spacing w:line="480" w:lineRule="auto"/>
        <w:jc w:val="both"/>
        <w:rPr>
          <w:rFonts w:cstheme="minorHAnsi"/>
          <w:color w:val="000000"/>
          <w:sz w:val="28"/>
          <w:szCs w:val="28"/>
          <w:shd w:val="clear" w:color="auto" w:fill="F9F9F9"/>
        </w:rPr>
      </w:pPr>
    </w:p>
    <w:p w14:paraId="4A1EB418" w14:textId="77777777" w:rsidR="007A6CD9" w:rsidRPr="007A6CD9" w:rsidRDefault="007A6CD9" w:rsidP="007A6CD9">
      <w:pPr>
        <w:spacing w:line="480" w:lineRule="auto"/>
        <w:jc w:val="both"/>
        <w:rPr>
          <w:rFonts w:cstheme="minorHAnsi"/>
          <w:color w:val="000000"/>
          <w:sz w:val="28"/>
          <w:szCs w:val="28"/>
          <w:shd w:val="clear" w:color="auto" w:fill="F9F9F9"/>
        </w:rPr>
      </w:pPr>
    </w:p>
    <w:p w14:paraId="0C3A6447" w14:textId="6B86FF81" w:rsidR="007A6CD9" w:rsidRPr="007A6CD9" w:rsidRDefault="007A6CD9" w:rsidP="007A6CD9">
      <w:pPr>
        <w:spacing w:line="480" w:lineRule="auto"/>
        <w:jc w:val="both"/>
        <w:rPr>
          <w:rFonts w:cstheme="minorHAnsi"/>
          <w:color w:val="000000"/>
          <w:sz w:val="28"/>
          <w:szCs w:val="28"/>
          <w:shd w:val="clear" w:color="auto" w:fill="F9F9F9"/>
        </w:rPr>
      </w:pPr>
    </w:p>
    <w:p w14:paraId="0188E5C5" w14:textId="77777777" w:rsidR="008A404E" w:rsidRPr="00CF77D7" w:rsidRDefault="008A404E" w:rsidP="00CF77D7">
      <w:pPr>
        <w:jc w:val="both"/>
        <w:rPr>
          <w:rFonts w:cstheme="minorHAnsi"/>
          <w:color w:val="171A22"/>
          <w:sz w:val="28"/>
          <w:szCs w:val="28"/>
        </w:rPr>
      </w:pPr>
    </w:p>
    <w:p w14:paraId="513719E4" w14:textId="77777777" w:rsidR="009D34FC" w:rsidRDefault="009D34FC" w:rsidP="00CF77D7">
      <w:pPr>
        <w:jc w:val="both"/>
        <w:rPr>
          <w:rFonts w:ascii="Calibri" w:hAnsi="Calibri" w:cs="Calibri"/>
          <w:color w:val="171A22"/>
          <w:sz w:val="32"/>
          <w:szCs w:val="32"/>
        </w:rPr>
      </w:pPr>
    </w:p>
    <w:p w14:paraId="0D9ED167" w14:textId="20D4081A" w:rsidR="009D34FC" w:rsidRDefault="009D34FC" w:rsidP="00CF77D7">
      <w:pPr>
        <w:tabs>
          <w:tab w:val="left" w:pos="348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14:paraId="3451140C" w14:textId="77777777" w:rsidR="009D34FC" w:rsidRPr="009D34FC" w:rsidRDefault="009D34FC" w:rsidP="00CF77D7">
      <w:pPr>
        <w:tabs>
          <w:tab w:val="left" w:pos="3480"/>
        </w:tabs>
        <w:jc w:val="both"/>
        <w:rPr>
          <w:sz w:val="32"/>
          <w:szCs w:val="32"/>
        </w:rPr>
      </w:pPr>
    </w:p>
    <w:sectPr w:rsidR="009D34FC" w:rsidRPr="009D34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A04AD"/>
    <w:multiLevelType w:val="multilevel"/>
    <w:tmpl w:val="3C80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E84443"/>
    <w:multiLevelType w:val="multilevel"/>
    <w:tmpl w:val="EB92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9961070">
    <w:abstractNumId w:val="1"/>
  </w:num>
  <w:num w:numId="2" w16cid:durableId="39933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0F"/>
    <w:rsid w:val="002A7576"/>
    <w:rsid w:val="00304061"/>
    <w:rsid w:val="003B6C35"/>
    <w:rsid w:val="00426C69"/>
    <w:rsid w:val="0044728E"/>
    <w:rsid w:val="005569C0"/>
    <w:rsid w:val="007A6CD9"/>
    <w:rsid w:val="008A404E"/>
    <w:rsid w:val="009072ED"/>
    <w:rsid w:val="009653E5"/>
    <w:rsid w:val="009D34FC"/>
    <w:rsid w:val="00B57580"/>
    <w:rsid w:val="00BF1D0F"/>
    <w:rsid w:val="00C30E52"/>
    <w:rsid w:val="00CF77D7"/>
    <w:rsid w:val="00DC6FD4"/>
    <w:rsid w:val="00EB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83DD"/>
  <w15:chartTrackingRefBased/>
  <w15:docId w15:val="{C1E733FC-779E-449B-9D2B-5D1F5E9F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75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57580"/>
    <w:rPr>
      <w:b/>
      <w:bCs/>
    </w:rPr>
  </w:style>
  <w:style w:type="character" w:customStyle="1" w:styleId="staffname">
    <w:name w:val="staffname"/>
    <w:basedOn w:val="Carpredefinitoparagrafo"/>
    <w:rsid w:val="00BF1D0F"/>
  </w:style>
  <w:style w:type="character" w:customStyle="1" w:styleId="lastname">
    <w:name w:val="lastname"/>
    <w:basedOn w:val="Carpredefinitoparagrafo"/>
    <w:rsid w:val="00BF1D0F"/>
  </w:style>
  <w:style w:type="character" w:styleId="Enfasicorsivo">
    <w:name w:val="Emphasis"/>
    <w:basedOn w:val="Carpredefinitoparagrafo"/>
    <w:uiPriority w:val="20"/>
    <w:qFormat/>
    <w:rsid w:val="007A6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Erasmo Venosi</dc:creator>
  <cp:keywords/>
  <dc:description/>
  <cp:lastModifiedBy>Erasmo Venosi</cp:lastModifiedBy>
  <cp:revision>2</cp:revision>
  <dcterms:created xsi:type="dcterms:W3CDTF">2023-07-15T14:22:00Z</dcterms:created>
  <dcterms:modified xsi:type="dcterms:W3CDTF">2023-07-15T14:22:00Z</dcterms:modified>
</cp:coreProperties>
</file>